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end"/>
        <w:rPr>
          <w:rFonts w:ascii="Arial" w:hAnsi="Arial" w:eastAsia="Times New Roman" w:cs="Arial"/>
          <w:i/>
          <w:kern w:val="0"/>
          <w:sz w:val="20"/>
          <w:szCs w:val="20"/>
          <w:lang w:eastAsia="pl-PL"/>
          <w14:ligatures w14:val="none"/>
        </w:rPr>
      </w:pPr>
      <w:r>
        <w:rPr>
          <w:rFonts w:eastAsia="Times New Roman" w:cs="Arial" w:ascii="Arial" w:hAnsi="Arial"/>
          <w:i/>
          <w:kern w:val="0"/>
          <w:sz w:val="20"/>
          <w:szCs w:val="20"/>
          <w:lang w:eastAsia="pl-PL"/>
          <w14:ligatures w14:val="none"/>
        </w:rPr>
        <w:t xml:space="preserve">Załącznik  Nr 3 </w:t>
      </w:r>
      <w:r>
        <w:rPr>
          <w:rFonts w:eastAsia="Times New Roman" w:cs="Arial" w:ascii="Arial" w:hAnsi="Arial"/>
          <w:i/>
          <w:kern w:val="0"/>
          <w:sz w:val="20"/>
          <w:szCs w:val="20"/>
          <w:lang w:eastAsia="pl-PL"/>
          <w14:ligatures w14:val="none"/>
        </w:rPr>
        <w:t xml:space="preserve">C </w:t>
      </w:r>
      <w:r>
        <w:rPr>
          <w:rFonts w:eastAsia="Times New Roman" w:cs="Arial" w:ascii="Arial" w:hAnsi="Arial"/>
          <w:i/>
          <w:kern w:val="0"/>
          <w:sz w:val="20"/>
          <w:szCs w:val="20"/>
          <w:lang w:eastAsia="pl-PL"/>
          <w14:ligatures w14:val="none"/>
        </w:rPr>
        <w:t>do SWZ</w:t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contextualSpacing/>
        <w:jc w:val="end"/>
        <w:outlineLvl w:val="3"/>
        <w:rPr>
          <w:rFonts w:ascii="Arial" w:hAnsi="Arial" w:eastAsia="Times New Roman" w:cs="Arial"/>
          <w:b/>
          <w:bCs/>
          <w:color w:val="000000"/>
          <w:kern w:val="0"/>
          <w:sz w:val="20"/>
          <w:szCs w:val="20"/>
          <w:shd w:fill="FFFFFF" w:val="clear"/>
          <w:lang w:eastAsia="pl-PL"/>
          <w14:ligatures w14:val="none"/>
        </w:rPr>
      </w:pPr>
      <w:r>
        <w:rPr>
          <w:rFonts w:eastAsia="Times New Roman" w:cs="Arial" w:ascii="Arial" w:hAnsi="Arial"/>
          <w:bCs/>
          <w:kern w:val="0"/>
          <w:sz w:val="20"/>
          <w:szCs w:val="20"/>
          <w:lang w:eastAsia="pl-PL"/>
          <w14:ligatures w14:val="none"/>
        </w:rPr>
        <w:t xml:space="preserve">Numer referencyjny: </w:t>
      </w:r>
      <w:r>
        <w:rPr>
          <w:rFonts w:eastAsia="Times New Roman" w:cs="Arial" w:ascii="Arial" w:hAnsi="Arial"/>
          <w:b/>
          <w:bCs/>
          <w:color w:val="000000"/>
          <w:kern w:val="0"/>
          <w:sz w:val="20"/>
          <w:szCs w:val="20"/>
          <w:shd w:fill="FFFFFF" w:val="clear"/>
          <w:lang w:eastAsia="pl-PL"/>
          <w14:ligatures w14:val="none"/>
        </w:rPr>
        <w:t>ZP.271.5.2026</w:t>
      </w:r>
    </w:p>
    <w:p>
      <w:pPr>
        <w:pStyle w:val="Normal"/>
        <w:tabs>
          <w:tab w:val="clear" w:pos="708"/>
          <w:tab w:val="left" w:pos="2154" w:leader="none"/>
        </w:tabs>
        <w:suppressAutoHyphens w:val="true"/>
        <w:spacing w:lineRule="auto" w:line="276" w:before="0" w:after="0"/>
        <w:rPr>
          <w:rFonts w:ascii="Arial" w:hAnsi="Arial" w:eastAsia="Times New Roman" w:cs="Arial"/>
          <w:b/>
          <w:bCs/>
          <w:color w:val="000000"/>
          <w:kern w:val="0"/>
          <w:sz w:val="20"/>
          <w:szCs w:val="20"/>
          <w:shd w:fill="FFFFFF" w:val="clear"/>
          <w:lang w:eastAsia="pl-PL"/>
          <w14:ligatures w14:val="none"/>
        </w:rPr>
      </w:pPr>
      <w:r>
        <w:rPr>
          <w:rFonts w:eastAsia="Times New Roman" w:cs="Arial" w:ascii="Arial" w:hAnsi="Arial"/>
          <w:b/>
          <w:bCs/>
          <w:color w:val="000000"/>
          <w:kern w:val="0"/>
          <w:sz w:val="20"/>
          <w:szCs w:val="20"/>
          <w:shd w:fill="FFFFFF" w:val="clear"/>
          <w:lang w:eastAsia="pl-PL"/>
          <w14:ligatures w14:val="none"/>
        </w:rPr>
        <w:tab/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Arial" w:hAnsi="Arial" w:eastAsia="Times New Roman" w:cs="Arial"/>
          <w:b/>
          <w:bCs/>
          <w:color w:val="000000"/>
          <w:kern w:val="0"/>
          <w:sz w:val="20"/>
          <w:szCs w:val="20"/>
          <w:shd w:fill="FFFFFF" w:val="clear"/>
          <w:lang w:eastAsia="pl-PL"/>
          <w14:ligatures w14:val="none"/>
        </w:rPr>
      </w:pPr>
      <w:r>
        <w:rPr>
          <w:rFonts w:eastAsia="Times New Roman" w:cs="Arial" w:ascii="Arial" w:hAnsi="Arial"/>
          <w:b/>
          <w:bCs/>
          <w:color w:val="000000"/>
          <w:kern w:val="0"/>
          <w:sz w:val="20"/>
          <w:szCs w:val="20"/>
          <w:shd w:fill="FFFFFF" w:val="clear"/>
          <w:lang w:eastAsia="pl-PL"/>
          <w14:ligatures w14:val="none"/>
        </w:rPr>
        <w:t>OPIS PRZEDMIOTU ZAMÓWIENIA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Arial" w:hAnsi="Arial" w:cs="Arial"/>
          <w:b/>
          <w:bCs/>
          <w:sz w:val="20"/>
          <w:szCs w:val="20"/>
          <w:lang w:eastAsia="pl-PL"/>
        </w:rPr>
      </w:pPr>
      <w:r>
        <w:rPr>
          <w:rFonts w:eastAsia="Times New Roman" w:cs="Arial" w:ascii="Arial" w:hAnsi="Arial"/>
          <w:b/>
          <w:bCs/>
          <w:color w:val="000000"/>
          <w:kern w:val="0"/>
          <w:sz w:val="20"/>
          <w:szCs w:val="20"/>
          <w:shd w:fill="FFFFFF" w:val="clear"/>
          <w:lang w:eastAsia="pl-PL"/>
          <w14:ligatures w14:val="none"/>
        </w:rPr>
        <w:t xml:space="preserve"> </w:t>
      </w:r>
      <w:r>
        <w:rPr>
          <w:rFonts w:cs="Arial" w:ascii="Arial" w:hAnsi="Arial"/>
          <w:b/>
          <w:bCs/>
          <w:sz w:val="20"/>
          <w:szCs w:val="20"/>
          <w:lang w:eastAsia="pl-PL"/>
        </w:rPr>
        <w:t xml:space="preserve">oraz wymagania jakościowe odnoszące się do głównych elementów składających się na przedmiot zamówienia 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  <w:t>pn.</w:t>
      </w:r>
      <w:r>
        <w:rPr>
          <w:b/>
          <w:bCs/>
        </w:rPr>
        <w:t xml:space="preserve"> </w:t>
      </w:r>
      <w:r>
        <w:rPr>
          <w:rFonts w:cs="Arial" w:ascii="Arial" w:hAnsi="Arial"/>
          <w:b/>
          <w:bCs/>
          <w:sz w:val="20"/>
          <w:szCs w:val="20"/>
        </w:rPr>
        <w:t>Dostawa wyposażenia do żłobka w Komarówce Podlaskiej- część 3</w:t>
      </w:r>
      <w:r>
        <w:rPr>
          <w:rFonts w:cs="Arial" w:ascii="Arial" w:hAnsi="Arial"/>
          <w:sz w:val="20"/>
          <w:szCs w:val="20"/>
        </w:rPr>
        <w:t xml:space="preserve"> </w:t>
      </w:r>
      <w:r>
        <w:rPr>
          <w:rFonts w:cs="Arial" w:ascii="Arial" w:hAnsi="Arial"/>
          <w:b/>
          <w:sz w:val="20"/>
          <w:szCs w:val="20"/>
        </w:rPr>
        <w:t xml:space="preserve">Dostawa sprzętu </w:t>
      </w:r>
      <w:r>
        <w:rPr>
          <w:rFonts w:cs="Arial" w:ascii="Arial" w:hAnsi="Arial"/>
          <w:b/>
          <w:sz w:val="20"/>
          <w:szCs w:val="20"/>
        </w:rPr>
        <w:t>elektrycznego i</w:t>
      </w:r>
      <w:r>
        <w:rPr>
          <w:rFonts w:cs="Arial" w:ascii="Arial" w:hAnsi="Arial"/>
          <w:b/>
          <w:sz w:val="20"/>
          <w:szCs w:val="20"/>
        </w:rPr>
        <w:t xml:space="preserve"> elektronicznego 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Arial" w:hAnsi="Arial" w:cs="Arial"/>
          <w:b/>
          <w:bCs/>
          <w:color w:themeColor="text1" w:val="000000"/>
          <w:sz w:val="20"/>
          <w:szCs w:val="20"/>
          <w:lang w:eastAsia="pl-PL"/>
        </w:rPr>
      </w:pPr>
      <w:r>
        <w:rPr>
          <w:rFonts w:cs="Arial" w:ascii="Arial" w:hAnsi="Arial"/>
          <w:b/>
          <w:bCs/>
          <w:color w:themeColor="text1" w:val="000000"/>
          <w:sz w:val="20"/>
          <w:szCs w:val="20"/>
          <w:lang w:eastAsia="pl-PL"/>
        </w:rPr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Arial" w:hAnsi="Arial" w:cs="Arial"/>
          <w:b/>
          <w:bCs/>
          <w:color w:themeColor="text1" w:val="000000"/>
          <w:sz w:val="20"/>
          <w:szCs w:val="20"/>
          <w:lang w:eastAsia="pl-PL"/>
        </w:rPr>
      </w:pPr>
      <w:r>
        <w:rPr>
          <w:rFonts w:cs="Arial" w:ascii="Arial" w:hAnsi="Arial"/>
          <w:b/>
          <w:bCs/>
          <w:color w:themeColor="text1" w:val="000000"/>
          <w:sz w:val="20"/>
          <w:szCs w:val="20"/>
          <w:lang w:eastAsia="pl-PL"/>
        </w:rPr>
        <w:t>x-*/ -</w:t>
      </w:r>
    </w:p>
    <w:p>
      <w:pPr>
        <w:pStyle w:val="Normal"/>
        <w:widowControl w:val="false"/>
        <w:numPr>
          <w:ilvl w:val="0"/>
          <w:numId w:val="1"/>
        </w:numPr>
        <w:spacing w:lineRule="auto" w:line="288" w:before="0" w:after="0"/>
        <w:ind w:hanging="425" w:start="425"/>
        <w:contextualSpacing/>
        <w:jc w:val="both"/>
        <w:outlineLvl w:val="3"/>
        <w:rPr>
          <w:rFonts w:ascii="Arial" w:hAnsi="Arial" w:eastAsia="Times New Roman" w:cs="Arial"/>
          <w:color w:themeColor="text1" w:val="000000"/>
          <w:kern w:val="0"/>
          <w:sz w:val="20"/>
          <w:szCs w:val="20"/>
          <w:shd w:fill="FFFFFF" w:val="clear"/>
          <w:lang w:eastAsia="pl-PL"/>
          <w14:ligatures w14:val="none"/>
        </w:rPr>
      </w:pPr>
      <w:r>
        <w:rPr>
          <w:rFonts w:eastAsia="Times New Roman" w:cs="Arial" w:ascii="Arial" w:hAnsi="Arial"/>
          <w:color w:themeColor="text1" w:val="000000"/>
          <w:kern w:val="0"/>
          <w:sz w:val="20"/>
          <w:szCs w:val="20"/>
          <w:shd w:fill="FFFFFF" w:val="clear"/>
          <w:lang w:eastAsia="pl-PL"/>
          <w14:ligatures w14:val="none"/>
        </w:rPr>
        <w:t>Przedmiotem zamówienia jest dostawa fabrycznie nowego wyposażenia tzn. nieużywanego przed dniem dostarczenia, pochodzącego</w:t>
        <w:br/>
        <w:t xml:space="preserve">z oficjalnych kanałów dystrybucyjnych producenta, wolnego od wad wraz z ich transportem i wniesieniem do budynku żłobka pod adresem </w:t>
        <w:br/>
        <w:t>ul. Wojska Polskiego 13, 21-311 Komarówka Podlaska</w:t>
      </w:r>
    </w:p>
    <w:p>
      <w:pPr>
        <w:pStyle w:val="Normal"/>
        <w:widowControl w:val="false"/>
        <w:numPr>
          <w:ilvl w:val="0"/>
          <w:numId w:val="1"/>
        </w:numPr>
        <w:spacing w:lineRule="auto" w:line="288" w:before="0" w:after="0"/>
        <w:ind w:hanging="425" w:start="425"/>
        <w:contextualSpacing/>
        <w:jc w:val="both"/>
        <w:outlineLvl w:val="3"/>
        <w:rPr>
          <w:rFonts w:ascii="Arial" w:hAnsi="Arial" w:eastAsia="Times New Roman" w:cs="Arial"/>
          <w:color w:themeColor="text1" w:val="000000"/>
          <w:kern w:val="0"/>
          <w:sz w:val="20"/>
          <w:szCs w:val="20"/>
          <w:shd w:fill="FFFFFF" w:val="clear"/>
          <w:lang w:eastAsia="pl-PL"/>
          <w14:ligatures w14:val="none"/>
        </w:rPr>
      </w:pPr>
      <w:r>
        <w:rPr>
          <w:rFonts w:eastAsia="Times New Roman" w:cs="Arial" w:ascii="Arial" w:hAnsi="Arial"/>
          <w:color w:themeColor="text1" w:val="000000"/>
          <w:kern w:val="0"/>
          <w:sz w:val="20"/>
          <w:szCs w:val="20"/>
          <w:shd w:fill="FFFFFF" w:val="clear"/>
          <w:lang w:eastAsia="pl-PL"/>
          <w14:ligatures w14:val="none"/>
        </w:rPr>
        <w:t>Zakres zamówienia obejmuje również dostarczenie niezbędnej dokumentacji technicznej, użytkowej (w języku polskim) związanej z przedmiotem zamówienia, oraz gwarancję jakości udzieloną na okres zgodny z § 7 Projektowanymi postanowieniami umowy (Załącznik nr 4 do SWZ) na dostarczone produkty na warunkach nie gorszych niż gwarancja producenta, potwierdzoną odrębnymi dokumentami gwarancyjnymi dostarczonymi wraz z wyposażeniem.</w:t>
      </w:r>
    </w:p>
    <w:p>
      <w:pPr>
        <w:pStyle w:val="Normal"/>
        <w:widowControl w:val="false"/>
        <w:numPr>
          <w:ilvl w:val="0"/>
          <w:numId w:val="1"/>
        </w:numPr>
        <w:spacing w:lineRule="auto" w:line="288" w:before="0" w:after="0"/>
        <w:ind w:hanging="425" w:start="425"/>
        <w:contextualSpacing/>
        <w:jc w:val="both"/>
        <w:outlineLvl w:val="3"/>
        <w:rPr>
          <w:rFonts w:ascii="Arial" w:hAnsi="Arial" w:eastAsia="Times New Roman" w:cs="Arial"/>
          <w:color w:themeColor="text1" w:val="000000"/>
          <w:kern w:val="0"/>
          <w:sz w:val="20"/>
          <w:szCs w:val="20"/>
          <w:shd w:fill="FFFFFF" w:val="clear"/>
          <w:lang w:eastAsia="pl-PL"/>
          <w14:ligatures w14:val="none"/>
        </w:rPr>
      </w:pPr>
      <w:r>
        <w:rPr>
          <w:rFonts w:eastAsia="Times New Roman" w:cs="Arial" w:ascii="Arial" w:hAnsi="Arial"/>
          <w:color w:themeColor="text1" w:val="000000"/>
          <w:kern w:val="0"/>
          <w:sz w:val="20"/>
          <w:szCs w:val="20"/>
          <w:shd w:fill="FFFFFF" w:val="clear"/>
          <w:lang w:eastAsia="pl-PL"/>
          <w14:ligatures w14:val="none"/>
        </w:rPr>
        <w:t>Dokonując kalkulacji ceny oferty Wykonawca zobowiązany jest uwzględnić wszelkie koszty związane z wykonaniem zamówienia zgodnie z SWZ, w tym jej załącznikami zawierającym opis przedmiotu zamówienia, aż do momentu dokonania odbioru przedmiotu zamówienia przez Zamawiającego bez żadnych zastrzeżeń.</w:t>
      </w:r>
    </w:p>
    <w:p>
      <w:pPr>
        <w:pStyle w:val="Normal"/>
        <w:widowControl w:val="false"/>
        <w:numPr>
          <w:ilvl w:val="0"/>
          <w:numId w:val="1"/>
        </w:numPr>
        <w:spacing w:lineRule="auto" w:line="288" w:before="0" w:after="0"/>
        <w:ind w:hanging="425" w:start="425"/>
        <w:contextualSpacing/>
        <w:jc w:val="both"/>
        <w:outlineLvl w:val="3"/>
        <w:rPr>
          <w:rFonts w:ascii="Arial" w:hAnsi="Arial" w:eastAsia="Times New Roman" w:cs="Arial"/>
          <w:color w:themeColor="text1" w:val="000000"/>
          <w:kern w:val="0"/>
          <w:sz w:val="20"/>
          <w:szCs w:val="20"/>
          <w:shd w:fill="FFFFFF" w:val="clear"/>
          <w:lang w:eastAsia="pl-PL"/>
          <w14:ligatures w14:val="none"/>
        </w:rPr>
      </w:pPr>
      <w:r>
        <w:rPr>
          <w:rFonts w:eastAsia="Times New Roman" w:cs="Arial" w:ascii="Arial" w:hAnsi="Arial"/>
          <w:color w:themeColor="text1" w:val="000000"/>
          <w:kern w:val="0"/>
          <w:sz w:val="20"/>
          <w:szCs w:val="20"/>
          <w:shd w:fill="FFFFFF" w:val="clear"/>
          <w:lang w:eastAsia="pl-PL"/>
          <w14:ligatures w14:val="none"/>
        </w:rPr>
        <w:t xml:space="preserve">Przed realizacją zamówienia należy bezwzględnie uzyskać akceptację Zamawiającego przedstawiając kompletne zestawienie wyposażenia – dla całego zakresu oferowanej części. </w:t>
      </w:r>
    </w:p>
    <w:p>
      <w:pPr>
        <w:pStyle w:val="Normal"/>
        <w:widowControl w:val="false"/>
        <w:numPr>
          <w:ilvl w:val="0"/>
          <w:numId w:val="1"/>
        </w:numPr>
        <w:spacing w:lineRule="auto" w:line="288" w:before="0" w:after="0"/>
        <w:ind w:hanging="425" w:start="425"/>
        <w:contextualSpacing/>
        <w:jc w:val="both"/>
        <w:outlineLvl w:val="3"/>
        <w:rPr>
          <w:rFonts w:ascii="Arial" w:hAnsi="Arial" w:eastAsia="Times New Roman" w:cs="Arial"/>
          <w:color w:themeColor="text1" w:val="000000"/>
          <w:kern w:val="0"/>
          <w:sz w:val="20"/>
          <w:szCs w:val="20"/>
          <w:shd w:fill="FFFFFF" w:val="clear"/>
          <w:lang w:eastAsia="pl-PL"/>
          <w14:ligatures w14:val="none"/>
        </w:rPr>
      </w:pPr>
      <w:r>
        <w:rPr>
          <w:rFonts w:eastAsia="Times New Roman" w:cs="Arial" w:ascii="Arial" w:hAnsi="Arial"/>
          <w:color w:themeColor="text1" w:val="000000"/>
          <w:kern w:val="0"/>
          <w:sz w:val="20"/>
          <w:szCs w:val="20"/>
          <w:shd w:fill="FFFFFF" w:val="clear"/>
          <w:lang w:eastAsia="pl-PL"/>
          <w14:ligatures w14:val="none"/>
        </w:rPr>
        <w:t>Ogólne wymagania Zamawiającego wobec przedmiotu zamówienia :</w:t>
      </w:r>
    </w:p>
    <w:p>
      <w:pPr>
        <w:pStyle w:val="Normal"/>
        <w:widowControl w:val="false"/>
        <w:numPr>
          <w:ilvl w:val="0"/>
          <w:numId w:val="0"/>
        </w:numPr>
        <w:spacing w:lineRule="auto" w:line="288" w:before="0" w:after="0"/>
        <w:ind w:hanging="283" w:start="709"/>
        <w:contextualSpacing/>
        <w:jc w:val="both"/>
        <w:outlineLvl w:val="3"/>
        <w:rPr>
          <w:rFonts w:ascii="Arial" w:hAnsi="Arial" w:eastAsia="Times New Roman" w:cs="Arial"/>
          <w:color w:themeColor="text1" w:val="000000"/>
          <w:kern w:val="0"/>
          <w:sz w:val="20"/>
          <w:szCs w:val="20"/>
          <w:shd w:fill="FFFFFF" w:val="clear"/>
          <w:lang w:eastAsia="pl-PL"/>
          <w14:ligatures w14:val="none"/>
        </w:rPr>
      </w:pPr>
      <w:r>
        <w:rPr>
          <w:rFonts w:eastAsia="Times New Roman" w:cs="Arial" w:ascii="Arial" w:hAnsi="Arial"/>
          <w:color w:themeColor="text1" w:val="000000"/>
          <w:kern w:val="0"/>
          <w:sz w:val="20"/>
          <w:szCs w:val="20"/>
          <w:shd w:fill="FFFFFF" w:val="clear"/>
          <w:lang w:eastAsia="pl-PL"/>
          <w14:ligatures w14:val="none"/>
        </w:rPr>
        <w:t>1) jest fabrycznie nowe, nieużywane, rok produkcji nie starszy niż 2024, wolne od wad fizycznych i prawnych;</w:t>
      </w:r>
    </w:p>
    <w:p>
      <w:pPr>
        <w:pStyle w:val="Normal"/>
        <w:widowControl w:val="false"/>
        <w:numPr>
          <w:ilvl w:val="0"/>
          <w:numId w:val="0"/>
        </w:numPr>
        <w:spacing w:lineRule="auto" w:line="288" w:before="0" w:after="0"/>
        <w:ind w:hanging="283" w:start="709"/>
        <w:contextualSpacing/>
        <w:jc w:val="both"/>
        <w:outlineLvl w:val="3"/>
        <w:rPr>
          <w:rFonts w:ascii="Arial" w:hAnsi="Arial" w:eastAsia="Times New Roman" w:cs="Arial"/>
          <w:color w:themeColor="text1" w:val="000000"/>
          <w:kern w:val="0"/>
          <w:sz w:val="20"/>
          <w:szCs w:val="20"/>
          <w:shd w:fill="FFFFFF" w:val="clear"/>
          <w:lang w:eastAsia="pl-PL"/>
          <w14:ligatures w14:val="none"/>
        </w:rPr>
      </w:pPr>
      <w:r>
        <w:rPr>
          <w:rFonts w:eastAsia="Times New Roman" w:cs="Arial" w:ascii="Arial" w:hAnsi="Arial"/>
          <w:color w:themeColor="text1" w:val="000000"/>
          <w:kern w:val="0"/>
          <w:sz w:val="20"/>
          <w:szCs w:val="20"/>
          <w:shd w:fill="FFFFFF" w:val="clear"/>
          <w:lang w:eastAsia="pl-PL"/>
          <w14:ligatures w14:val="none"/>
        </w:rPr>
        <w:t>2) nie jest produktem podemonstracyjnym ani rekondycjonowanym;</w:t>
      </w:r>
    </w:p>
    <w:p>
      <w:pPr>
        <w:pStyle w:val="Normal"/>
        <w:widowControl w:val="false"/>
        <w:numPr>
          <w:ilvl w:val="0"/>
          <w:numId w:val="0"/>
        </w:numPr>
        <w:spacing w:lineRule="auto" w:line="288" w:before="0" w:after="0"/>
        <w:ind w:hanging="283" w:start="709"/>
        <w:contextualSpacing/>
        <w:jc w:val="both"/>
        <w:outlineLvl w:val="3"/>
        <w:rPr>
          <w:rFonts w:ascii="Arial" w:hAnsi="Arial" w:eastAsia="Times New Roman" w:cs="Arial"/>
          <w:color w:themeColor="text1" w:val="000000"/>
          <w:kern w:val="0"/>
          <w:sz w:val="20"/>
          <w:szCs w:val="20"/>
          <w:shd w:fill="FFFFFF" w:val="clear"/>
          <w:lang w:eastAsia="pl-PL"/>
          <w14:ligatures w14:val="none"/>
        </w:rPr>
      </w:pPr>
      <w:r>
        <w:rPr>
          <w:rFonts w:eastAsia="Times New Roman" w:cs="Arial" w:ascii="Arial" w:hAnsi="Arial"/>
          <w:color w:themeColor="text1" w:val="000000"/>
          <w:kern w:val="0"/>
          <w:sz w:val="20"/>
          <w:szCs w:val="20"/>
          <w:shd w:fill="FFFFFF" w:val="clear"/>
          <w:lang w:eastAsia="pl-PL"/>
          <w14:ligatures w14:val="none"/>
        </w:rPr>
        <w:t>3) jest dopuszczone do obrotu na terytorium Rzeczypospolitej Polskiej;</w:t>
      </w:r>
    </w:p>
    <w:p>
      <w:pPr>
        <w:pStyle w:val="Normal"/>
        <w:widowControl w:val="false"/>
        <w:numPr>
          <w:ilvl w:val="0"/>
          <w:numId w:val="0"/>
        </w:numPr>
        <w:spacing w:lineRule="auto" w:line="288" w:before="0" w:after="0"/>
        <w:ind w:hanging="283" w:start="709"/>
        <w:contextualSpacing/>
        <w:jc w:val="both"/>
        <w:outlineLvl w:val="3"/>
        <w:rPr>
          <w:rFonts w:ascii="Arial" w:hAnsi="Arial" w:eastAsia="Times New Roman" w:cs="Arial"/>
          <w:color w:themeColor="text1" w:val="000000"/>
          <w:kern w:val="0"/>
          <w:sz w:val="20"/>
          <w:szCs w:val="20"/>
          <w:shd w:fill="FFFFFF" w:val="clear"/>
          <w:lang w:eastAsia="pl-PL"/>
          <w14:ligatures w14:val="none"/>
        </w:rPr>
      </w:pPr>
      <w:r>
        <w:rPr>
          <w:rFonts w:eastAsia="Times New Roman" w:cs="Arial" w:ascii="Arial" w:hAnsi="Arial"/>
          <w:color w:themeColor="text1" w:val="000000"/>
          <w:kern w:val="0"/>
          <w:sz w:val="20"/>
          <w:szCs w:val="20"/>
          <w:shd w:fill="FFFFFF" w:val="clear"/>
          <w:lang w:eastAsia="pl-PL"/>
          <w14:ligatures w14:val="none"/>
        </w:rPr>
        <w:t>4) posiada wszelkie wymagane przepisami prawa certyfikaty, atesty, deklaracje zgodności oraz spełnia normy bezpieczeństwa określone w obowiązującym w Polsce i Unii Europejskiej prawie (w tym CE dla sprzętu elektrycznego i elektronicznego) oraz spełnia normy bezpieczeństwa;</w:t>
      </w:r>
    </w:p>
    <w:p>
      <w:pPr>
        <w:pStyle w:val="Normal"/>
        <w:widowControl w:val="false"/>
        <w:numPr>
          <w:ilvl w:val="0"/>
          <w:numId w:val="0"/>
        </w:numPr>
        <w:spacing w:lineRule="auto" w:line="288" w:before="0" w:after="0"/>
        <w:ind w:hanging="283" w:start="709"/>
        <w:contextualSpacing/>
        <w:jc w:val="both"/>
        <w:outlineLvl w:val="3"/>
        <w:rPr>
          <w:rFonts w:ascii="Arial" w:hAnsi="Arial" w:eastAsia="Times New Roman" w:cs="Arial"/>
          <w:color w:themeColor="text1" w:val="000000"/>
          <w:kern w:val="0"/>
          <w:sz w:val="20"/>
          <w:szCs w:val="20"/>
          <w:shd w:fill="FFFFFF" w:val="clear"/>
          <w:lang w:eastAsia="pl-PL"/>
          <w14:ligatures w14:val="none"/>
        </w:rPr>
      </w:pPr>
      <w:r>
        <w:rPr>
          <w:rFonts w:eastAsia="Times New Roman" w:cs="Arial" w:ascii="Arial" w:hAnsi="Arial"/>
          <w:color w:themeColor="text1" w:val="000000"/>
          <w:kern w:val="0"/>
          <w:sz w:val="20"/>
          <w:szCs w:val="20"/>
          <w:shd w:fill="FFFFFF" w:val="clear"/>
          <w:lang w:eastAsia="pl-PL"/>
          <w14:ligatures w14:val="none"/>
        </w:rPr>
        <w:t>5)  jest oznaczone zgodnie z obowiązującymi przepisami.</w:t>
      </w:r>
    </w:p>
    <w:p>
      <w:pPr>
        <w:pStyle w:val="Normal"/>
        <w:widowControl w:val="false"/>
        <w:numPr>
          <w:ilvl w:val="0"/>
          <w:numId w:val="0"/>
        </w:numPr>
        <w:spacing w:lineRule="auto" w:line="288" w:before="0" w:after="0"/>
        <w:ind w:hanging="0" w:start="425"/>
        <w:contextualSpacing/>
        <w:jc w:val="both"/>
        <w:outlineLvl w:val="3"/>
        <w:rPr>
          <w:rFonts w:ascii="Arial" w:hAnsi="Arial" w:eastAsia="Times New Roman" w:cs="Arial"/>
          <w:color w:themeColor="text1" w:val="000000"/>
          <w:kern w:val="0"/>
          <w:sz w:val="20"/>
          <w:szCs w:val="20"/>
          <w:shd w:fill="FFFFFF" w:val="clear"/>
          <w:lang w:eastAsia="pl-PL"/>
          <w14:ligatures w14:val="none"/>
        </w:rPr>
      </w:pPr>
      <w:r>
        <w:rPr>
          <w:rFonts w:eastAsia="Times New Roman" w:cs="Arial" w:ascii="Arial" w:hAnsi="Arial"/>
          <w:color w:themeColor="text1" w:val="000000"/>
          <w:kern w:val="0"/>
          <w:sz w:val="20"/>
          <w:szCs w:val="20"/>
          <w:shd w:fill="FFFFFF" w:val="clear"/>
          <w:lang w:eastAsia="pl-PL"/>
          <w14:ligatures w14:val="none"/>
        </w:rPr>
      </w:r>
      <w:r>
        <w:br w:type="page"/>
      </w:r>
    </w:p>
    <w:tbl>
      <w:tblPr>
        <w:tblW w:w="13988" w:type="dxa"/>
        <w:jc w:val="start"/>
        <w:tblInd w:w="0" w:type="dxa"/>
        <w:tblLayout w:type="fixed"/>
        <w:tblCellMar>
          <w:top w:w="15" w:type="dxa"/>
          <w:start w:w="15" w:type="dxa"/>
          <w:bottom w:w="15" w:type="dxa"/>
          <w:end w:w="15" w:type="dxa"/>
        </w:tblCellMar>
        <w:tblLook w:firstRow="1" w:noVBand="1" w:lastRow="0" w:firstColumn="1" w:lastColumn="0" w:noHBand="0" w:val="04a0"/>
      </w:tblPr>
      <w:tblGrid>
        <w:gridCol w:w="359"/>
        <w:gridCol w:w="2901"/>
        <w:gridCol w:w="604"/>
        <w:gridCol w:w="560"/>
        <w:gridCol w:w="9564"/>
      </w:tblGrid>
      <w:tr>
        <w:trPr>
          <w:trHeight w:val="300" w:hRule="atLeast"/>
        </w:trPr>
        <w:tc>
          <w:tcPr>
            <w:tcW w:w="13988" w:type="dxa"/>
            <w:gridSpan w:val="5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BFBFBF" w:val="clear"/>
            <w:vAlign w:val="bottom"/>
          </w:tcPr>
          <w:p>
            <w:pPr>
              <w:pStyle w:val="Normal"/>
              <w:pageBreakBefore/>
              <w:spacing w:lineRule="auto" w:line="240" w:before="0" w:after="0"/>
              <w:jc w:val="center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 Wyposażenie Sali 1 i 2</w:t>
            </w:r>
          </w:p>
        </w:tc>
      </w:tr>
      <w:tr>
        <w:trPr>
          <w:trHeight w:val="300" w:hRule="atLeast"/>
        </w:trPr>
        <w:tc>
          <w:tcPr>
            <w:tcW w:w="35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290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DAE3F3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nazwa </w:t>
            </w:r>
          </w:p>
        </w:tc>
        <w:tc>
          <w:tcPr>
            <w:tcW w:w="604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DAE3F3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j.m.</w:t>
            </w:r>
          </w:p>
        </w:tc>
        <w:tc>
          <w:tcPr>
            <w:tcW w:w="56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DAE3F3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liczba</w:t>
            </w:r>
          </w:p>
        </w:tc>
        <w:tc>
          <w:tcPr>
            <w:tcW w:w="9564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DAE3F3" w:val="clea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opis</w:t>
            </w:r>
          </w:p>
        </w:tc>
      </w:tr>
      <w:tr>
        <w:trPr>
          <w:trHeight w:val="2415" w:hRule="atLeast"/>
        </w:trPr>
        <w:tc>
          <w:tcPr>
            <w:tcW w:w="35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1.1.</w:t>
            </w:r>
          </w:p>
        </w:tc>
        <w:tc>
          <w:tcPr>
            <w:tcW w:w="290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eastAsia="pl-PL"/>
                <w14:ligatures w14:val="none"/>
              </w:rPr>
              <w:t>lampa bakteriobójcza</w:t>
            </w:r>
          </w:p>
        </w:tc>
        <w:tc>
          <w:tcPr>
            <w:tcW w:w="604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sztuka</w:t>
            </w:r>
          </w:p>
        </w:tc>
        <w:tc>
          <w:tcPr>
            <w:tcW w:w="56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9564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eastAsia="pl-PL"/>
                <w14:ligatures w14:val="none"/>
              </w:rPr>
              <w:t>Lampa wirusobójcza, bakteriobójcza - dwufunkcyjna z funkcją przepływowej dezynfekcji powietrza oraz funkcja bezpośredniej dezynfekcji powierzchni.</w:t>
              <w:br/>
              <w:t>Licznik czasu pracy.Rodzaj światła ultrafioletowe UV-C.Metraż (kubatura) dezynfekowanego pomieszczenia przy dezynfekcji przepływowej 120 m3. Powierzchnia naświetlania przy dezynfekcji bezpośredniej z odległości 1 m 7 m2</w:t>
              <w:br/>
              <w:t>Długość Fali UV-C 253,7 nm .Kolor jasny.Przepływ powietrza min. 200 m3/h. Żywotność min. 9000 h</w:t>
              <w:br/>
              <w:t>Napięcie zasilające 220-240 V. Klasa ochronności I Stopień szczelności IP20.Przewód zasilający min. 3 m. Wymiary (A/B/C) ok. 160/220/724 mm</w:t>
              <w:br/>
              <w:t xml:space="preserve">Włącznik on-off Tak. Miejsce na dodatkowy filtr HEPA </w:t>
            </w:r>
          </w:p>
        </w:tc>
      </w:tr>
      <w:tr>
        <w:trPr>
          <w:trHeight w:val="2520" w:hRule="atLeast"/>
        </w:trPr>
        <w:tc>
          <w:tcPr>
            <w:tcW w:w="35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1.2.</w:t>
            </w:r>
          </w:p>
        </w:tc>
        <w:tc>
          <w:tcPr>
            <w:tcW w:w="290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eastAsia="pl-PL"/>
                <w14:ligatures w14:val="none"/>
              </w:rPr>
              <w:t>laptop z systemem operacyjnym i oprogramowaniem biurowym</w:t>
            </w:r>
          </w:p>
        </w:tc>
        <w:tc>
          <w:tcPr>
            <w:tcW w:w="604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sztuka</w:t>
            </w:r>
          </w:p>
        </w:tc>
        <w:tc>
          <w:tcPr>
            <w:tcW w:w="56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9564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Ekran 15,6"-16:, matowy, rozdzielczość min. Full HD (1920x1080). Procesor wielordzeniowy, min. 8 rdzeni logicznych, taktowanie bazowe min. 1,5 GHz, pamięć RAM min. 16GB (z możliwością rozbudowy), dysk SSD NVMe: min.512 GB, karta graficzna zintegrowana, łączność: WiFi 6, Bluetooth min. 5,0, LAN RJ-45 (lub przez adapter), porty: min. 2xUSB 3.0,1 x USB 3.0, 1 × USB-C, HDMI, audio </w:t>
              <w:br/>
              <w:t>Kamera HD, mikrofon wbudowany, Bateria: min. 6 h pracy biurowej</w:t>
              <w:br/>
              <w:t>System operacyjny Windows w polskiej wersji językowej</w:t>
              <w:br/>
              <w:t>Gwarancja producenta: min. 36 miesięcy on-site lub door-to-door</w:t>
            </w:r>
          </w:p>
        </w:tc>
      </w:tr>
      <w:tr>
        <w:trPr>
          <w:trHeight w:val="1815" w:hRule="atLeast"/>
        </w:trPr>
        <w:tc>
          <w:tcPr>
            <w:tcW w:w="35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1.3.</w:t>
            </w:r>
          </w:p>
        </w:tc>
        <w:tc>
          <w:tcPr>
            <w:tcW w:w="290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eastAsia="pl-PL"/>
                <w14:ligatures w14:val="none"/>
              </w:rPr>
              <w:t>odtwarzacz CD</w:t>
            </w:r>
          </w:p>
        </w:tc>
        <w:tc>
          <w:tcPr>
            <w:tcW w:w="604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sztuka</w:t>
            </w:r>
          </w:p>
        </w:tc>
        <w:tc>
          <w:tcPr>
            <w:tcW w:w="56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9564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eastAsia="pl-PL"/>
                <w14:ligatures w14:val="none"/>
              </w:rPr>
              <w:t>Odtwarzacz do odtwarzania płyt Audio CD, nagranych płyt CD-R/CD-RW oraz plików muzycznych MP3 z zewnętrznych urządzeń pamięci masowej USB. Radio analogowe z pamięcią zakres fal radiowych FM.</w:t>
              <w:br/>
              <w:t>Dźwięk -stereo. Typ głośników: szerokopasmowe. Moc wyjściowa RMS: min. 2 x 1,6 W</w:t>
              <w:br/>
              <w:t>Funkcje dodatkowe: Bluetooth, nagrywanie z CD, USB – muzyka, uchwyt do przenoszenia, Złącza: USB, słuchawkowe,wejście AUX - 3,5 mm, Zasilanie : 6 baterii R20, sieciowe 220-240 V.</w:t>
            </w:r>
          </w:p>
        </w:tc>
      </w:tr>
      <w:tr>
        <w:trPr>
          <w:trHeight w:val="2760" w:hRule="atLeast"/>
        </w:trPr>
        <w:tc>
          <w:tcPr>
            <w:tcW w:w="35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1.4.</w:t>
            </w:r>
          </w:p>
        </w:tc>
        <w:tc>
          <w:tcPr>
            <w:tcW w:w="290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pakiet EDU Fitness dla najmłodszych, poziom 1 i 2, do Magicznego Dywanu 4.0 </w:t>
            </w:r>
          </w:p>
        </w:tc>
        <w:tc>
          <w:tcPr>
            <w:tcW w:w="604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eastAsia="pl-PL"/>
                <w14:ligatures w14:val="none"/>
              </w:rPr>
              <w:t>zestaw</w:t>
            </w:r>
          </w:p>
        </w:tc>
        <w:tc>
          <w:tcPr>
            <w:tcW w:w="56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9564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eastAsia="pl-PL"/>
                <w14:ligatures w14:val="none"/>
              </w:rPr>
              <w:br/>
              <w:t>Pakiet EDU Fitness dla najmłodszych, poziom 1 i 2, do Magicznego Dywanu 4.0 i Kinebi 5.0:</w:t>
              <w:br/>
              <w:t>Różnorodna tematyka, sceneria oraz poziom trudności gier pozwalają prowadzącemu dopasować rozrywkę do możliwości psychofizycznych dziecka.</w:t>
              <w:br/>
              <w:t>Dwa poziomy, uwzględniające rozwój motoryczny i poznawczy dzieci. Każdy poziom zawiera 6 aplikacji tematycznych z łącznie 18 interaktywnymi grami, które przenoszą graczy w świat przyrody.</w:t>
              <w:br/>
              <w:t>Sprawdza się zarówno podczas zajęć grupowych, jak i indywidualnych.</w:t>
            </w:r>
          </w:p>
        </w:tc>
      </w:tr>
      <w:tr>
        <w:trPr>
          <w:trHeight w:val="2295" w:hRule="atLeast"/>
        </w:trPr>
        <w:tc>
          <w:tcPr>
            <w:tcW w:w="35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1.5.</w:t>
            </w:r>
          </w:p>
        </w:tc>
        <w:tc>
          <w:tcPr>
            <w:tcW w:w="290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eastAsia="pl-PL"/>
                <w14:ligatures w14:val="none"/>
              </w:rPr>
              <w:t>oczyszczacz powietrza</w:t>
            </w:r>
          </w:p>
        </w:tc>
        <w:tc>
          <w:tcPr>
            <w:tcW w:w="604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sztuka</w:t>
            </w:r>
          </w:p>
        </w:tc>
        <w:tc>
          <w:tcPr>
            <w:tcW w:w="56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9564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eastAsia="pl-PL"/>
                <w14:ligatures w14:val="none"/>
              </w:rPr>
              <w:t>Oczyszczacz powietrza, z jonizacją, z nawilżaniem, do pomieszczenia wielkości: 50 m2</w:t>
              <w:br/>
              <w:t>Wydajność: min. 408 m3/h</w:t>
              <w:br/>
              <w:t>Poziom hałasu: max. 53 dB / min. 24 dB</w:t>
              <w:br/>
              <w:t>Czujniki: kurzu, nieprzyjemnych zapachów, PM 2,5, ruchu, światła, temperatury, wilgotności</w:t>
              <w:br/>
              <w:t>Filtry - HEPA 13, nawilżający, węglowy, wstępny</w:t>
              <w:br/>
              <w:t>Wskaźnik zanieczyszczenia powietrza</w:t>
            </w:r>
          </w:p>
        </w:tc>
      </w:tr>
      <w:tr>
        <w:trPr>
          <w:trHeight w:val="3645" w:hRule="atLeast"/>
        </w:trPr>
        <w:tc>
          <w:tcPr>
            <w:tcW w:w="35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1.6.</w:t>
            </w:r>
          </w:p>
        </w:tc>
        <w:tc>
          <w:tcPr>
            <w:tcW w:w="290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eastAsia="pl-PL"/>
                <w14:ligatures w14:val="none"/>
              </w:rPr>
              <w:t>monitor interaktywny</w:t>
            </w:r>
          </w:p>
        </w:tc>
        <w:tc>
          <w:tcPr>
            <w:tcW w:w="604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eastAsia="pl-PL"/>
                <w14:ligatures w14:val="none"/>
              </w:rPr>
              <w:t>sztuka</w:t>
            </w:r>
          </w:p>
        </w:tc>
        <w:tc>
          <w:tcPr>
            <w:tcW w:w="56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9564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eastAsia="pl-PL"/>
                <w14:ligatures w14:val="none"/>
              </w:rPr>
              <w:t>Przekątna ekranu: min. 75”.Rozdzielczość natywna: min. 4K UHD (3840 × 2160)</w:t>
              <w:br/>
              <w:t>Technologia podświetlenia: LED. Jasność: min. 350 cd/m²</w:t>
              <w:br/>
              <w:t>Kontrast statyczny: min. 1200:1. Kąt widzenia: min. 178° (poziom/pion)</w:t>
              <w:br/>
              <w:t>Szyba hartowana, antyrefleksyjna, o twardości min. 7H</w:t>
              <w:br/>
              <w:t>Obsługa min. 20 punktów dotyku jednocześnie</w:t>
              <w:br/>
              <w:t xml:space="preserve">Czas reakcji dotyku: maks. 8 ms. Wbudowany system operacyjny umożliwiający pracę bez komputera zewnętrznego. Wbudowany moduł Wi-Fi i Bluetooth. Pamięć RAM: min. 4 GB. Pamięć wewnętrzna: min. 32 GB. Wbudowane głośniki: min. 2 </w:t>
              <w:br/>
              <w:t>Złącza: min. 3 × HDMI, min. 2 × USB, USB-C, LAN (RJ-45), wyjście audio</w:t>
              <w:br/>
              <w:t>Możliwość montażu w standardzie VESA</w:t>
              <w:br/>
              <w:t>Pilot i minimum 2 pisaki w zestawie</w:t>
              <w:br/>
              <w:t>Certyfikat CE</w:t>
            </w:r>
          </w:p>
        </w:tc>
      </w:tr>
      <w:tr>
        <w:trPr>
          <w:trHeight w:val="3795" w:hRule="atLeast"/>
        </w:trPr>
        <w:tc>
          <w:tcPr>
            <w:tcW w:w="35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1.7.</w:t>
            </w:r>
          </w:p>
        </w:tc>
        <w:tc>
          <w:tcPr>
            <w:tcW w:w="290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eastAsia="pl-PL"/>
                <w14:ligatures w14:val="none"/>
              </w:rPr>
              <w:t>magiczny Dywan 4.0 + pakiet REW (821050+821008N)</w:t>
            </w:r>
          </w:p>
        </w:tc>
        <w:tc>
          <w:tcPr>
            <w:tcW w:w="604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eastAsia="pl-PL"/>
                <w14:ligatures w14:val="none"/>
              </w:rPr>
              <w:t>zestaw</w:t>
            </w:r>
          </w:p>
        </w:tc>
        <w:tc>
          <w:tcPr>
            <w:tcW w:w="56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9564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eastAsia="pl-PL"/>
                <w14:ligatures w14:val="none"/>
              </w:rPr>
              <w:t>MAGICZNY DYWAN 4.0 PAKIET REW PODŁOGA INTERAKTYWNA + GRY. Pakiet do prowadzenia zajęć z zakresu rewalidacji. Gry, dostosowane do potrzeb dzieci z różnymi niepełnosprawnościami, takich jak autyzm, porażenie mózgowe czy zaburzenia koncentracji, oferują wyraziste kolory, proste tła i spowolnioną dynamikę.</w:t>
              <w:br/>
              <w:t>Wiek: Przedszkole, Szkoła podstawowa. Pakiet Zestaw Start (FUN, 10 gier) Pakiet REV (16 gier rehabilitacyjnych). Żywotność lampy: ok 7500 godzin. Jasność lampy: ok. 3200 ANSI lumen. Rozdzielczość wyświetlanego obrazu: 1280x800 USB-3.0: x2. Zasilanie: 110 - 240 V. Maksymalny pobór mocy: 370 W. Wymiary (wys x szer x gł): ok. 330 x 310 x 205 mm. Waga: ok. 8,3 kg Uchwyt sufitowy regulowany: 90 mm, 400 - 500 mm.</w:t>
              <w:br/>
              <w:t>Zakres temperatur pracy: 10 – 30°C. Sterowanie za pomocą pilota .Wyposażony w czujniki ruchu. Wbudowany projektor szerokokątny. Wbudowany komputer z procesorem</w:t>
              <w:br/>
              <w:t xml:space="preserve">Głośniki stereo: tak </w:t>
            </w:r>
          </w:p>
        </w:tc>
      </w:tr>
      <w:tr>
        <w:trPr>
          <w:trHeight w:val="300" w:hRule="atLeast"/>
        </w:trPr>
        <w:tc>
          <w:tcPr>
            <w:tcW w:w="13988" w:type="dxa"/>
            <w:gridSpan w:val="5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B2B2B2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 Wyposażenie szatni</w:t>
            </w:r>
          </w:p>
        </w:tc>
      </w:tr>
      <w:tr>
        <w:trPr>
          <w:trHeight w:val="1230" w:hRule="atLeast"/>
        </w:trPr>
        <w:tc>
          <w:tcPr>
            <w:tcW w:w="35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2.1.</w:t>
            </w:r>
          </w:p>
        </w:tc>
        <w:tc>
          <w:tcPr>
            <w:tcW w:w="290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Stacja do dezynfekcji z przyciskiem nożnym</w:t>
            </w:r>
          </w:p>
        </w:tc>
        <w:tc>
          <w:tcPr>
            <w:tcW w:w="604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sztuka</w:t>
            </w:r>
          </w:p>
        </w:tc>
        <w:tc>
          <w:tcPr>
            <w:tcW w:w="56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9564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Stojak – stacja do dezynfekcji rąk z mechanizmem nożnym </w:t>
              <w:br/>
              <w:t>Dozowanie środka dezynfekcyjnego odbywa się za pomocą pedału nożnego, co eliminuje ryzyko przenoszenia bakterii i wirusów.</w:t>
            </w:r>
          </w:p>
        </w:tc>
      </w:tr>
      <w:tr>
        <w:trPr>
          <w:trHeight w:val="300" w:hRule="atLeast"/>
        </w:trPr>
        <w:tc>
          <w:tcPr>
            <w:tcW w:w="13988" w:type="dxa"/>
            <w:gridSpan w:val="5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B2B2B2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3. Wyposażenie rozdzieli posiłków i pomieszczenia do przechowywania mleka</w:t>
            </w:r>
          </w:p>
        </w:tc>
      </w:tr>
      <w:tr>
        <w:trPr>
          <w:trHeight w:val="990" w:hRule="atLeast"/>
        </w:trPr>
        <w:tc>
          <w:tcPr>
            <w:tcW w:w="35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3.1.</w:t>
            </w:r>
          </w:p>
        </w:tc>
        <w:tc>
          <w:tcPr>
            <w:tcW w:w="290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czajnik bezprzewodowy</w:t>
            </w:r>
          </w:p>
        </w:tc>
        <w:tc>
          <w:tcPr>
            <w:tcW w:w="604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eastAsia="pl-PL"/>
                <w14:ligatures w14:val="none"/>
              </w:rPr>
              <w:t>sztuka</w:t>
            </w:r>
          </w:p>
        </w:tc>
        <w:tc>
          <w:tcPr>
            <w:tcW w:w="56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9564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eastAsia="pl-PL"/>
                <w14:ligatures w14:val="none"/>
              </w:rPr>
              <w:t>Czajnik elektryczny o dużej pojemności 1,5-1.7 l i mocy 2000 - 2400 W</w:t>
              <w:br/>
              <w:t>Grzałka ukryta, Wykonanie: Stal nierdzewna</w:t>
              <w:br/>
              <w:t>Obrotowa podstawa, Zabezpieczenie przed przegrzaniem</w:t>
            </w:r>
          </w:p>
        </w:tc>
      </w:tr>
      <w:tr>
        <w:trPr>
          <w:trHeight w:val="1230" w:hRule="atLeast"/>
        </w:trPr>
        <w:tc>
          <w:tcPr>
            <w:tcW w:w="35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3.2.</w:t>
            </w:r>
          </w:p>
        </w:tc>
        <w:tc>
          <w:tcPr>
            <w:tcW w:w="290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eastAsia="pl-PL"/>
                <w14:ligatures w14:val="none"/>
              </w:rPr>
              <w:t>podgrzewacz do butelek</w:t>
            </w:r>
          </w:p>
        </w:tc>
        <w:tc>
          <w:tcPr>
            <w:tcW w:w="604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eastAsia="pl-PL"/>
                <w14:ligatures w14:val="none"/>
              </w:rPr>
              <w:t>sztuka</w:t>
            </w:r>
          </w:p>
        </w:tc>
        <w:tc>
          <w:tcPr>
            <w:tcW w:w="56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9564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eastAsia="pl-PL"/>
                <w14:ligatures w14:val="none"/>
              </w:rPr>
              <w:t>Podgrzewacz do butelek 2w1.Służy do szybkiego podgrzewania pokarmów</w:t>
              <w:br/>
              <w:t>Pełni funkcję sterylizatora.Zakres temperatury od 25 do 100°C z funkcją podtrzymania stałej temperatury, średnica wnętrza komory ok 75mm wysokość komory 85mm</w:t>
              <w:br/>
              <w:t xml:space="preserve">podstawka na słoiczki i małe butelki miseczka z podziałką do gęstych pokarmów (180ml) przykrywka; Kolor: biały </w:t>
            </w:r>
          </w:p>
        </w:tc>
      </w:tr>
      <w:tr>
        <w:trPr>
          <w:trHeight w:val="1305" w:hRule="atLeast"/>
        </w:trPr>
        <w:tc>
          <w:tcPr>
            <w:tcW w:w="35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3.3.</w:t>
            </w:r>
          </w:p>
        </w:tc>
        <w:tc>
          <w:tcPr>
            <w:tcW w:w="290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eastAsia="pl-PL"/>
                <w14:ligatures w14:val="none"/>
              </w:rPr>
              <w:t>sterylizator do butelek i smoczków</w:t>
            </w:r>
          </w:p>
        </w:tc>
        <w:tc>
          <w:tcPr>
            <w:tcW w:w="604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eastAsia="pl-PL"/>
                <w14:ligatures w14:val="none"/>
              </w:rPr>
              <w:t>sztuka</w:t>
            </w:r>
          </w:p>
        </w:tc>
        <w:tc>
          <w:tcPr>
            <w:tcW w:w="56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9564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eastAsia="pl-PL"/>
                <w14:ligatures w14:val="none"/>
              </w:rPr>
              <w:t>Elektryczny sterylizator parowy z suszarką</w:t>
              <w:br/>
              <w:t>trzy programy: Sterylizacja, Suszenie butelek i akcesoriów w wybranym czasie: 10, 30 lub 50 minut oraz Program Auto, który automatycznie sterylizuje i suszy butelki oraz akcesoriów w zaledwie 1 godzinę (10 minut sterylizacji i 50 minut suszenia).</w:t>
            </w:r>
          </w:p>
        </w:tc>
      </w:tr>
      <w:tr>
        <w:trPr>
          <w:trHeight w:val="2115" w:hRule="atLeast"/>
        </w:trPr>
        <w:tc>
          <w:tcPr>
            <w:tcW w:w="35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3.4</w:t>
            </w:r>
          </w:p>
        </w:tc>
        <w:tc>
          <w:tcPr>
            <w:tcW w:w="290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zmywarko-wyparzarka</w:t>
            </w:r>
          </w:p>
        </w:tc>
        <w:tc>
          <w:tcPr>
            <w:tcW w:w="604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sztuka</w:t>
            </w:r>
          </w:p>
        </w:tc>
        <w:tc>
          <w:tcPr>
            <w:tcW w:w="56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9564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eastAsia="pl-PL"/>
                <w14:ligatures w14:val="none"/>
              </w:rPr>
              <w:t>Zmywarko wyparzarka z dozownikiem płynu myjącego. Długość cyklu pracy 120/180</w:t>
              <w:br/>
              <w:t>Moc elektryczna (kW) 2.77. Elektromechaniczne sterowanie z czytelnym i pochylonym panelem oraz ergonomiczny uchwyt.Dwa cykle mycia (120 s lub 180 s)</w:t>
              <w:br/>
              <w:t>Czytelne kontrolki temperatury pracy bojlera oraz komory. Zużycie wody ok. 2,4 l na cykl.</w:t>
              <w:br/>
              <w:t>Wymiary: ok 415x530x680 mm. Rozmiar kosza: ok 400x400 mm. Wysokość wsadu: ok 300 mm</w:t>
              <w:br/>
              <w:t>Moc elektryczna: 2,77 kW. Zasilanie: 230 V. Materiał: Stal nierdzewna</w:t>
              <w:br/>
              <w:t>Przystosowana do montażu pod blatowego W komplecie znajduje się kosz uniwersalny oraz pojemnik na sztućce. W zestawie z uzdatniaczem wody.</w:t>
            </w:r>
          </w:p>
        </w:tc>
      </w:tr>
      <w:tr>
        <w:trPr>
          <w:trHeight w:val="1410" w:hRule="atLeast"/>
        </w:trPr>
        <w:tc>
          <w:tcPr>
            <w:tcW w:w="35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3.5.</w:t>
            </w:r>
          </w:p>
        </w:tc>
        <w:tc>
          <w:tcPr>
            <w:tcW w:w="290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mikrofala</w:t>
            </w:r>
          </w:p>
        </w:tc>
        <w:tc>
          <w:tcPr>
            <w:tcW w:w="604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sztuka</w:t>
            </w:r>
          </w:p>
        </w:tc>
        <w:tc>
          <w:tcPr>
            <w:tcW w:w="56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9564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eastAsia="pl-PL"/>
                <w14:ligatures w14:val="none"/>
              </w:rPr>
              <w:t>Moc mikrofal: ok. 700. Wymiary (GxSxW) [cm]: ok. 35 x 44 x 25.9</w:t>
              <w:br/>
              <w:t>Grill, Opiekanie na chrupko, Podgrzewanie, Rozmrażanie. Moc grilla: min 1000.Moc mikrofal: min.700.Liczba poziomów mocy: 5. Średnica talerza obrotowego [cm]: min.25.5. Talerz: Talerz obrotowy</w:t>
            </w:r>
          </w:p>
        </w:tc>
      </w:tr>
      <w:tr>
        <w:trPr>
          <w:trHeight w:val="1740" w:hRule="atLeast"/>
        </w:trPr>
        <w:tc>
          <w:tcPr>
            <w:tcW w:w="35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3.6.</w:t>
            </w:r>
          </w:p>
        </w:tc>
        <w:tc>
          <w:tcPr>
            <w:tcW w:w="290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eastAsia="pl-PL"/>
                <w14:ligatures w14:val="none"/>
              </w:rPr>
              <w:t>lodówka</w:t>
            </w:r>
          </w:p>
        </w:tc>
        <w:tc>
          <w:tcPr>
            <w:tcW w:w="604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sztuka</w:t>
            </w:r>
          </w:p>
        </w:tc>
        <w:tc>
          <w:tcPr>
            <w:tcW w:w="56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9564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eastAsia="pl-PL"/>
                <w14:ligatures w14:val="none"/>
              </w:rPr>
              <w:t>Wymiary (WxSxG) [cm]: ok 177 x 90 x 66</w:t>
              <w:br/>
              <w:t>Pojemność [l]: min. 347 chłodziarka + 185 zamrażarka; Liczba drzwi: 2 z alarmem otwartych drzwi, z wyświetlaczem temperatury i funkcji.</w:t>
              <w:br/>
              <w:t>Bezszronowa (No Frost), Kolor ciemny Funkcje: Komora zero, Szybkie chłodzenie, Szybkie zamrażanie, Wymuszona cyrkulacja powietrza</w:t>
            </w:r>
          </w:p>
        </w:tc>
      </w:tr>
      <w:tr>
        <w:trPr>
          <w:trHeight w:val="1530" w:hRule="atLeast"/>
        </w:trPr>
        <w:tc>
          <w:tcPr>
            <w:tcW w:w="35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3.7.</w:t>
            </w:r>
          </w:p>
        </w:tc>
        <w:tc>
          <w:tcPr>
            <w:tcW w:w="290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dystrybutor do wody </w:t>
            </w:r>
          </w:p>
        </w:tc>
        <w:tc>
          <w:tcPr>
            <w:tcW w:w="604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eastAsia="pl-PL"/>
                <w14:ligatures w14:val="none"/>
              </w:rPr>
              <w:t>sztuka</w:t>
            </w:r>
          </w:p>
        </w:tc>
        <w:tc>
          <w:tcPr>
            <w:tcW w:w="56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9564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eastAsia="pl-PL"/>
                <w14:ligatures w14:val="none"/>
              </w:rPr>
              <w:t>Regulowana temperatura wody od poniżej 10°C do powyżej 38°C. Moc systemu grzewczego: 420 W. Temperatura minimalna: ok 10 °C. Temperatura maksymalna: ok 85 °C</w:t>
              <w:br/>
              <w:t xml:space="preserve">Zasilanie : 220 V, 240 V. Zbiornik na kapiąca wodę. Pojemność zbiornika na zimną wodę: min 2 L. Pojemność zbiornika na ciepłą wodę: min 4 L. Przestrzeń na przechowywanie o pojemności 20 L pod dystrybutorem wody. </w:t>
            </w:r>
          </w:p>
        </w:tc>
      </w:tr>
      <w:tr>
        <w:trPr>
          <w:trHeight w:val="300" w:hRule="atLeast"/>
        </w:trPr>
        <w:tc>
          <w:tcPr>
            <w:tcW w:w="13988" w:type="dxa"/>
            <w:gridSpan w:val="5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B2B2B2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4. Wyposażenie pomieszczenia biurowego</w:t>
            </w:r>
          </w:p>
        </w:tc>
      </w:tr>
      <w:tr>
        <w:trPr>
          <w:trHeight w:val="2745" w:hRule="atLeast"/>
        </w:trPr>
        <w:tc>
          <w:tcPr>
            <w:tcW w:w="35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4.1.</w:t>
            </w:r>
          </w:p>
        </w:tc>
        <w:tc>
          <w:tcPr>
            <w:tcW w:w="290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eastAsia="pl-PL"/>
                <w14:ligatures w14:val="none"/>
              </w:rPr>
              <w:t>laptop z syst operacyjnym i oprogramowaniem biurowym</w:t>
            </w:r>
          </w:p>
        </w:tc>
        <w:tc>
          <w:tcPr>
            <w:tcW w:w="604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eastAsia="pl-PL"/>
                <w14:ligatures w14:val="none"/>
              </w:rPr>
              <w:t>sztuka</w:t>
            </w:r>
          </w:p>
        </w:tc>
        <w:tc>
          <w:tcPr>
            <w:tcW w:w="56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9564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Ekran 15,6"-16:, matowy, rozdzielczość min. Full HD (1920x1080). Procesor wielordzeniowy, min. 8 rdzeni logicznych, taktowanie bazowe min. 1,5 GHz, pamięć RAM min. 16GB (z możliwością rozbudowy), dysk SSD NVMe: min.512 GB, karta graficzna zintegrowana, łączność: WiFi 6, Bluetooth min. 5,0, LAN RJ-45 (lub przez adapter), porty: min. 2xUSB 3.0,1 x USB 3.0, 1 × USB-C, HDMI, audio </w:t>
              <w:br/>
              <w:t>Kamera HD, mikrofon wbudowany, Bateria: min. 6 h pracy biurowej</w:t>
              <w:br/>
              <w:t>System operacyjny Windows w polskiej wersji językowej</w:t>
              <w:br/>
              <w:t>Gwarancja producenta: min. 36 miesięcy on-site lub door-to-door</w:t>
            </w:r>
          </w:p>
        </w:tc>
      </w:tr>
      <w:tr>
        <w:trPr>
          <w:trHeight w:val="1155" w:hRule="atLeast"/>
        </w:trPr>
        <w:tc>
          <w:tcPr>
            <w:tcW w:w="35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4.2.</w:t>
            </w:r>
          </w:p>
        </w:tc>
        <w:tc>
          <w:tcPr>
            <w:tcW w:w="290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urządzenie wielofunkcyjne</w:t>
            </w:r>
          </w:p>
        </w:tc>
        <w:tc>
          <w:tcPr>
            <w:tcW w:w="604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sztuka</w:t>
            </w:r>
          </w:p>
        </w:tc>
        <w:tc>
          <w:tcPr>
            <w:tcW w:w="56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9564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Funkcje: drukowanie, skanowanie, kopiowanie. Technologia druku: laserowa kolorowa. Format: A4. Prędkość druku: min. 20 str./min (mono i kolor). Rozdzielczość druku: min. 1200 × 1200 dpi</w:t>
              <w:br/>
              <w:t>Automatyczny druk dwustronny. Skaner: min. 600 × 600 dpi.</w:t>
              <w:br/>
              <w:t>Podajnik dokumentów ADF. Łączność: USB, LAN, Wi-Fi</w:t>
            </w:r>
          </w:p>
        </w:tc>
      </w:tr>
      <w:tr>
        <w:trPr>
          <w:trHeight w:val="300" w:hRule="atLeast"/>
        </w:trPr>
        <w:tc>
          <w:tcPr>
            <w:tcW w:w="13988" w:type="dxa"/>
            <w:gridSpan w:val="5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B2B2B2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5.Wyposażenie pomieszczenia magazynowego</w:t>
            </w:r>
          </w:p>
        </w:tc>
      </w:tr>
      <w:tr>
        <w:trPr>
          <w:trHeight w:val="1155" w:hRule="atLeast"/>
        </w:trPr>
        <w:tc>
          <w:tcPr>
            <w:tcW w:w="35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5.1.</w:t>
            </w:r>
          </w:p>
        </w:tc>
        <w:tc>
          <w:tcPr>
            <w:tcW w:w="290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eastAsia="pl-PL"/>
                <w14:ligatures w14:val="none"/>
              </w:rPr>
              <w:t>zestaw: żelazko + deska do prasowania</w:t>
            </w:r>
          </w:p>
        </w:tc>
        <w:tc>
          <w:tcPr>
            <w:tcW w:w="604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eastAsia="pl-PL"/>
                <w14:ligatures w14:val="none"/>
              </w:rPr>
              <w:t>zestaw</w:t>
            </w:r>
          </w:p>
        </w:tc>
        <w:tc>
          <w:tcPr>
            <w:tcW w:w="56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9564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eastAsia="pl-PL"/>
                <w14:ligatures w14:val="none"/>
              </w:rPr>
              <w:t>Żelazko - Moc: min. 2400 W.Stopa ceramiczna lub stalowa.Funkcja pary pionowej.System antywapienny. Zabezpieczenie przed kapaniem</w:t>
              <w:br/>
              <w:t>Deska do prasowania - Regulacja wysokości. Stabilna konstrukcja stalowa. Blat min. 110 × 30 cm. Pokrowiec odporny na wysoką temperaturę</w:t>
            </w:r>
          </w:p>
        </w:tc>
      </w:tr>
      <w:tr>
        <w:trPr>
          <w:trHeight w:val="1410" w:hRule="atLeast"/>
        </w:trPr>
        <w:tc>
          <w:tcPr>
            <w:tcW w:w="35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5.2.</w:t>
            </w:r>
          </w:p>
        </w:tc>
        <w:tc>
          <w:tcPr>
            <w:tcW w:w="290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eastAsia="pl-PL"/>
                <w14:ligatures w14:val="none"/>
              </w:rPr>
              <w:t>odkurzacz</w:t>
            </w:r>
          </w:p>
        </w:tc>
        <w:tc>
          <w:tcPr>
            <w:tcW w:w="604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eastAsia="pl-PL"/>
                <w14:ligatures w14:val="none"/>
              </w:rPr>
              <w:t>sztuka</w:t>
            </w:r>
          </w:p>
        </w:tc>
        <w:tc>
          <w:tcPr>
            <w:tcW w:w="56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9564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eastAsia="pl-PL"/>
                <w14:ligatures w14:val="none"/>
              </w:rPr>
              <w:t>Moc silnika: min. 1400 W, Funkcja prania dywanów i tapicerki</w:t>
              <w:br/>
              <w:t>Zbiornik wody czystej i brudnej</w:t>
              <w:br/>
              <w:t>Filtr HEPA</w:t>
              <w:br/>
              <w:t>Zasięg pracy min. 8 m</w:t>
            </w:r>
          </w:p>
        </w:tc>
      </w:tr>
      <w:tr>
        <w:trPr>
          <w:trHeight w:val="300" w:hRule="atLeast"/>
        </w:trPr>
        <w:tc>
          <w:tcPr>
            <w:tcW w:w="13988" w:type="dxa"/>
            <w:gridSpan w:val="5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B2B2B2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6. Wyposażenie Sali zabaw</w:t>
            </w:r>
          </w:p>
        </w:tc>
      </w:tr>
      <w:tr>
        <w:trPr>
          <w:trHeight w:val="750" w:hRule="atLeast"/>
        </w:trPr>
        <w:tc>
          <w:tcPr>
            <w:tcW w:w="35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6.1.</w:t>
            </w:r>
          </w:p>
        </w:tc>
        <w:tc>
          <w:tcPr>
            <w:tcW w:w="290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głośnik przenośny </w:t>
            </w:r>
          </w:p>
        </w:tc>
        <w:tc>
          <w:tcPr>
            <w:tcW w:w="604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eastAsia="pl-PL"/>
                <w14:ligatures w14:val="none"/>
              </w:rPr>
              <w:t>sztuka</w:t>
            </w:r>
          </w:p>
        </w:tc>
        <w:tc>
          <w:tcPr>
            <w:tcW w:w="56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9564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Wymiary: ok. 17 x 8 CM. Ilość głośników: 4 Gniazdo karty pamięci:TAK , Gniazdo USB: TAK, Bluetooth: tak, Wbudowany Mikrofon: TAK , Akumulator: min. 6000 mAh , Obsługa kart microSD, pendrive'ów USB i radia FM. </w:t>
            </w:r>
          </w:p>
        </w:tc>
      </w:tr>
    </w:tbl>
    <w:p>
      <w:pPr>
        <w:pStyle w:val="Normal"/>
        <w:spacing w:before="0" w:after="16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orient="landscape" w:w="16838" w:h="11906"/>
      <w:pgMar w:left="1417" w:right="1417" w:gutter="0" w:header="284" w:top="1417" w:footer="708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roman"/>
    <w:pitch w:val="variable"/>
  </w:font>
  <w:font w:name="Calibri Light"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swiss"/>
    <w:pitch w:val="variable"/>
  </w:font>
  <w:font w:name="Times New Roman">
    <w:charset w:val="ee" w:characterSet="windows-1250"/>
    <w:family w:val="roman"/>
    <w:pitch w:val="variable"/>
  </w:font>
  <w:font w:name="Arial">
    <w:charset w:val="ee" w:characterSet="windows-1250"/>
    <w:family w:val="swiss"/>
    <w:pitch w:val="variable"/>
  </w:font>
  <w:font w:name="Calibri">
    <w:charset w:val="ee" w:characterSet="windows-125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id w:val="587042357"/>
      <w:docPartObj>
        <w:docPartGallery w:val="Page Numbers (Bottom of Page)"/>
        <w:docPartUnique w:val="true"/>
      </w:docPartObj>
    </w:sdtPr>
    <w:sdtContent>
      <w:p>
        <w:pPr>
          <w:pStyle w:val="Footer"/>
          <w:jc w:val="end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6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id w:val="587042357"/>
      <w:docPartObj>
        <w:docPartGallery w:val="Page Numbers (Bottom of Page)"/>
        <w:docPartUnique w:val="true"/>
      </w:docPartObj>
    </w:sdtPr>
    <w:sdtContent>
      <w:p>
        <w:pPr>
          <w:pStyle w:val="Footer"/>
          <w:jc w:val="end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6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drawing>
        <wp:inline distT="0" distB="0" distL="0" distR="0">
          <wp:extent cx="5850890" cy="1033780"/>
          <wp:effectExtent l="0" t="0" r="0" b="0"/>
          <wp:docPr id="1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6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850890" cy="10337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drawing>
        <wp:inline distT="0" distB="0" distL="0" distR="0">
          <wp:extent cx="5850890" cy="1033780"/>
          <wp:effectExtent l="0" t="0" r="0" b="0"/>
          <wp:docPr id="2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6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850890" cy="10337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0"/>
        </w:tabs>
        <w:ind w:start="0" w:hanging="0"/>
      </w:pPr>
      <w:rPr/>
    </w:lvl>
    <w:lvl w:ilvl="1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2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3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4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5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6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7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8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33023"/>
    <w:pPr>
      <w:widowControl/>
      <w:bidi w:val="0"/>
      <w:spacing w:lineRule="auto" w:line="259" w:before="0" w:after="16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2"/>
      <w:szCs w:val="22"/>
      <w:lang w:val="pl-PL" w:eastAsia="en-US" w:bidi="ar-SA"/>
      <w14:ligatures w14:val="standardContextual"/>
    </w:rPr>
  </w:style>
  <w:style w:type="paragraph" w:styleId="Heading1">
    <w:name w:val="heading 1"/>
    <w:basedOn w:val="Normal"/>
    <w:next w:val="Normal"/>
    <w:link w:val="Nagwek1Znak"/>
    <w:uiPriority w:val="9"/>
    <w:qFormat/>
    <w:rsid w:val="00ca2552"/>
    <w:pPr>
      <w:keepNext w:val="true"/>
      <w:keepLines/>
      <w:spacing w:before="360" w:after="80"/>
      <w:outlineLvl w:val="0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paragraph" w:styleId="Heading2">
    <w:name w:val="heading 2"/>
    <w:basedOn w:val="Normal"/>
    <w:next w:val="Normal"/>
    <w:link w:val="Nagwek2Znak"/>
    <w:uiPriority w:val="9"/>
    <w:semiHidden/>
    <w:unhideWhenUsed/>
    <w:qFormat/>
    <w:rsid w:val="00ca2552"/>
    <w:pPr>
      <w:keepNext w:val="true"/>
      <w:keepLines/>
      <w:spacing w:before="160" w:after="80"/>
      <w:outlineLvl w:val="1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paragraph" w:styleId="Heading3">
    <w:name w:val="heading 3"/>
    <w:basedOn w:val="Normal"/>
    <w:next w:val="Normal"/>
    <w:link w:val="Nagwek3Znak"/>
    <w:uiPriority w:val="9"/>
    <w:semiHidden/>
    <w:unhideWhenUsed/>
    <w:qFormat/>
    <w:rsid w:val="00ca2552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2F5496"/>
      <w:sz w:val="28"/>
      <w:szCs w:val="28"/>
    </w:rPr>
  </w:style>
  <w:style w:type="paragraph" w:styleId="Heading4">
    <w:name w:val="heading 4"/>
    <w:basedOn w:val="Normal"/>
    <w:next w:val="Normal"/>
    <w:link w:val="Nagwek4Znak"/>
    <w:uiPriority w:val="9"/>
    <w:semiHidden/>
    <w:unhideWhenUsed/>
    <w:qFormat/>
    <w:rsid w:val="00ca2552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2F5496"/>
    </w:rPr>
  </w:style>
  <w:style w:type="paragraph" w:styleId="Heading5">
    <w:name w:val="heading 5"/>
    <w:basedOn w:val="Normal"/>
    <w:next w:val="Normal"/>
    <w:link w:val="Nagwek5Znak"/>
    <w:uiPriority w:val="9"/>
    <w:semiHidden/>
    <w:unhideWhenUsed/>
    <w:qFormat/>
    <w:rsid w:val="00ca2552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2F5496"/>
    </w:rPr>
  </w:style>
  <w:style w:type="paragraph" w:styleId="Heading6">
    <w:name w:val="heading 6"/>
    <w:basedOn w:val="Normal"/>
    <w:next w:val="Normal"/>
    <w:link w:val="Nagwek6Znak"/>
    <w:uiPriority w:val="9"/>
    <w:semiHidden/>
    <w:unhideWhenUsed/>
    <w:qFormat/>
    <w:rsid w:val="00ca2552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Nagwek7Znak"/>
    <w:uiPriority w:val="9"/>
    <w:semiHidden/>
    <w:unhideWhenUsed/>
    <w:qFormat/>
    <w:rsid w:val="00ca2552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Nagwek8Znak"/>
    <w:uiPriority w:val="9"/>
    <w:semiHidden/>
    <w:unhideWhenUsed/>
    <w:qFormat/>
    <w:rsid w:val="00ca2552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Nagwek9Znak"/>
    <w:uiPriority w:val="9"/>
    <w:semiHidden/>
    <w:unhideWhenUsed/>
    <w:qFormat/>
    <w:rsid w:val="00ca2552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uiPriority w:val="9"/>
    <w:qFormat/>
    <w:rsid w:val="00ca2552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character" w:styleId="Nagwek2Znak" w:customStyle="1">
    <w:name w:val="Nagłówek 2 Znak"/>
    <w:basedOn w:val="DefaultParagraphFont"/>
    <w:uiPriority w:val="9"/>
    <w:semiHidden/>
    <w:qFormat/>
    <w:rsid w:val="00ca2552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character" w:styleId="Nagwek3Znak" w:customStyle="1">
    <w:name w:val="Nagłówek 3 Znak"/>
    <w:basedOn w:val="DefaultParagraphFont"/>
    <w:uiPriority w:val="9"/>
    <w:semiHidden/>
    <w:qFormat/>
    <w:rsid w:val="00ca2552"/>
    <w:rPr>
      <w:rFonts w:eastAsia="" w:cs="" w:cstheme="majorBidi" w:eastAsiaTheme="majorEastAsia"/>
      <w:color w:themeColor="accent1" w:themeShade="bf" w:val="2F5496"/>
      <w:sz w:val="28"/>
      <w:szCs w:val="28"/>
    </w:rPr>
  </w:style>
  <w:style w:type="character" w:styleId="Nagwek4Znak" w:customStyle="1">
    <w:name w:val="Nagłówek 4 Znak"/>
    <w:basedOn w:val="DefaultParagraphFont"/>
    <w:uiPriority w:val="9"/>
    <w:semiHidden/>
    <w:qFormat/>
    <w:rsid w:val="00ca2552"/>
    <w:rPr>
      <w:rFonts w:eastAsia="" w:cs="" w:cstheme="majorBidi" w:eastAsiaTheme="majorEastAsia"/>
      <w:i/>
      <w:iCs/>
      <w:color w:themeColor="accent1" w:themeShade="bf" w:val="2F5496"/>
    </w:rPr>
  </w:style>
  <w:style w:type="character" w:styleId="Nagwek5Znak" w:customStyle="1">
    <w:name w:val="Nagłówek 5 Znak"/>
    <w:basedOn w:val="DefaultParagraphFont"/>
    <w:uiPriority w:val="9"/>
    <w:semiHidden/>
    <w:qFormat/>
    <w:rsid w:val="00ca2552"/>
    <w:rPr>
      <w:rFonts w:eastAsia="" w:cs="" w:cstheme="majorBidi" w:eastAsiaTheme="majorEastAsia"/>
      <w:color w:themeColor="accent1" w:themeShade="bf" w:val="2F5496"/>
    </w:rPr>
  </w:style>
  <w:style w:type="character" w:styleId="Nagwek6Znak" w:customStyle="1">
    <w:name w:val="Nagłówek 6 Znak"/>
    <w:basedOn w:val="DefaultParagraphFont"/>
    <w:uiPriority w:val="9"/>
    <w:semiHidden/>
    <w:qFormat/>
    <w:rsid w:val="00ca2552"/>
    <w:rPr>
      <w:rFonts w:eastAsia="" w:cs="" w:cstheme="majorBidi" w:eastAsiaTheme="majorEastAsia"/>
      <w:i/>
      <w:iCs/>
      <w:color w:themeColor="text1" w:themeTint="a6" w:val="595959"/>
    </w:rPr>
  </w:style>
  <w:style w:type="character" w:styleId="Nagwek7Znak" w:customStyle="1">
    <w:name w:val="Nagłówek 7 Znak"/>
    <w:basedOn w:val="DefaultParagraphFont"/>
    <w:uiPriority w:val="9"/>
    <w:semiHidden/>
    <w:qFormat/>
    <w:rsid w:val="00ca2552"/>
    <w:rPr>
      <w:rFonts w:eastAsia="" w:cs="" w:cstheme="majorBidi" w:eastAsiaTheme="majorEastAsia"/>
      <w:color w:themeColor="text1" w:themeTint="a6" w:val="595959"/>
    </w:rPr>
  </w:style>
  <w:style w:type="character" w:styleId="Nagwek8Znak" w:customStyle="1">
    <w:name w:val="Nagłówek 8 Znak"/>
    <w:basedOn w:val="DefaultParagraphFont"/>
    <w:uiPriority w:val="9"/>
    <w:semiHidden/>
    <w:qFormat/>
    <w:rsid w:val="00ca2552"/>
    <w:rPr>
      <w:rFonts w:eastAsia="" w:cs="" w:cstheme="majorBidi" w:eastAsiaTheme="majorEastAsia"/>
      <w:i/>
      <w:iCs/>
      <w:color w:themeColor="text1" w:themeTint="d8" w:val="272727"/>
    </w:rPr>
  </w:style>
  <w:style w:type="character" w:styleId="Nagwek9Znak" w:customStyle="1">
    <w:name w:val="Nagłówek 9 Znak"/>
    <w:basedOn w:val="DefaultParagraphFont"/>
    <w:uiPriority w:val="9"/>
    <w:semiHidden/>
    <w:qFormat/>
    <w:rsid w:val="00ca2552"/>
    <w:rPr>
      <w:rFonts w:eastAsia="" w:cs="" w:cstheme="majorBidi" w:eastAsiaTheme="majorEastAsia"/>
      <w:color w:themeColor="text1" w:themeTint="d8" w:val="272727"/>
    </w:rPr>
  </w:style>
  <w:style w:type="character" w:styleId="TytuZnak" w:customStyle="1">
    <w:name w:val="Tytuł Znak"/>
    <w:basedOn w:val="DefaultParagraphFont"/>
    <w:uiPriority w:val="10"/>
    <w:qFormat/>
    <w:rsid w:val="00ca2552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PodtytuZnak" w:customStyle="1">
    <w:name w:val="Podtytuł Znak"/>
    <w:basedOn w:val="DefaultParagraphFont"/>
    <w:uiPriority w:val="11"/>
    <w:qFormat/>
    <w:rsid w:val="00ca2552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ytatZnak" w:customStyle="1">
    <w:name w:val="Cytat Znak"/>
    <w:basedOn w:val="DefaultParagraphFont"/>
    <w:link w:val="Quote"/>
    <w:uiPriority w:val="29"/>
    <w:qFormat/>
    <w:rsid w:val="00ca2552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ca2552"/>
    <w:rPr>
      <w:i/>
      <w:iCs/>
      <w:color w:themeColor="accent1" w:themeShade="bf" w:val="2F5496"/>
    </w:rPr>
  </w:style>
  <w:style w:type="character" w:styleId="CytatintensywnyZnak" w:customStyle="1">
    <w:name w:val="Cytat intensywny Znak"/>
    <w:basedOn w:val="DefaultParagraphFont"/>
    <w:link w:val="IntenseQuote"/>
    <w:uiPriority w:val="30"/>
    <w:qFormat/>
    <w:rsid w:val="00ca2552"/>
    <w:rPr>
      <w:i/>
      <w:iCs/>
      <w:color w:themeColor="accent1" w:themeShade="bf" w:val="2F5496"/>
    </w:rPr>
  </w:style>
  <w:style w:type="character" w:styleId="IntenseReference">
    <w:name w:val="Intense Reference"/>
    <w:basedOn w:val="DefaultParagraphFont"/>
    <w:uiPriority w:val="32"/>
    <w:qFormat/>
    <w:rsid w:val="00ca2552"/>
    <w:rPr>
      <w:b/>
      <w:bCs/>
      <w:smallCaps/>
      <w:color w:themeColor="accent1" w:themeShade="bf" w:val="2F5496"/>
      <w:spacing w:val="5"/>
    </w:rPr>
  </w:style>
  <w:style w:type="character" w:styleId="NagwekZnak" w:customStyle="1">
    <w:name w:val="Nagłówek Znak"/>
    <w:basedOn w:val="DefaultParagraphFont"/>
    <w:uiPriority w:val="99"/>
    <w:qFormat/>
    <w:rsid w:val="00f86616"/>
    <w:rPr/>
  </w:style>
  <w:style w:type="character" w:styleId="StopkaZnak" w:customStyle="1">
    <w:name w:val="Stopka Znak"/>
    <w:basedOn w:val="DefaultParagraphFont"/>
    <w:uiPriority w:val="99"/>
    <w:qFormat/>
    <w:rsid w:val="00f86616"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next w:val="Normal"/>
    <w:link w:val="TytuZnak"/>
    <w:uiPriority w:val="10"/>
    <w:qFormat/>
    <w:rsid w:val="00ca2552"/>
    <w:pPr>
      <w:spacing w:lineRule="auto" w:line="240" w:before="0" w:after="8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PodtytuZnak"/>
    <w:uiPriority w:val="11"/>
    <w:qFormat/>
    <w:rsid w:val="00ca2552"/>
    <w:pPr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ytatZnak"/>
    <w:uiPriority w:val="29"/>
    <w:qFormat/>
    <w:rsid w:val="00ca2552"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rsid w:val="00ca2552"/>
    <w:pPr>
      <w:spacing w:before="0" w:after="160"/>
      <w:ind w:start="720"/>
      <w:contextualSpacing/>
    </w:pPr>
    <w:rPr/>
  </w:style>
  <w:style w:type="paragraph" w:styleId="IntenseQuote">
    <w:name w:val="Intense Quote"/>
    <w:basedOn w:val="Normal"/>
    <w:next w:val="Normal"/>
    <w:link w:val="CytatintensywnyZnak"/>
    <w:uiPriority w:val="30"/>
    <w:qFormat/>
    <w:rsid w:val="00ca25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start="864" w:end="864"/>
      <w:jc w:val="center"/>
    </w:pPr>
    <w:rPr>
      <w:i/>
      <w:iCs/>
      <w:color w:themeColor="accent1" w:themeShade="bf" w:val="2F5496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f86616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opkaZnak"/>
    <w:uiPriority w:val="99"/>
    <w:unhideWhenUsed/>
    <w:rsid w:val="00f86616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NormalWeb">
    <w:name w:val="Normal (Web)"/>
    <w:basedOn w:val="Normal"/>
    <w:uiPriority w:val="99"/>
    <w:unhideWhenUsed/>
    <w:qFormat/>
    <w:rsid w:val="00477280"/>
    <w:pPr/>
    <w:rPr>
      <w:rFonts w:ascii="Times New Roman" w:hAnsi="Times New Roman" w:cs="Times New Roman"/>
      <w:sz w:val="24"/>
      <w:szCs w:val="24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28499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F7A9F8-B974-4923-98BA-52CD7331F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4075</TotalTime>
  <Application>LibreOffice/26.2.2.2$Windows_X86_64 LibreOffice_project/1f77d10d6938fd34972958f64b2bcfa54f8b1ba5</Application>
  <AppVersion>15.0000</AppVersion>
  <Pages>6</Pages>
  <Words>1594</Words>
  <Characters>9709</Characters>
  <CharactersWithSpaces>11197</CharactersWithSpaces>
  <Paragraphs>130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2026-02-13T07:30:00Z</dcterms:created>
  <dc:creator>Justyna Swacha</dc:creator>
  <dc:description/>
  <dc:language>pl-PL</dc:language>
  <cp:lastModifiedBy>Magdalena Weremczuk</cp:lastModifiedBy>
  <cp:lastPrinted>2026-03-26T13:36:00Z</cp:lastPrinted>
  <dcterms:modified xsi:type="dcterms:W3CDTF">2026-04-08T10:24:30Z</dcterms:modified>
  <cp:revision>679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